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E2" w:rsidRPr="00F06EF9" w:rsidRDefault="00BA26E2" w:rsidP="007E3217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</w:pPr>
    </w:p>
    <w:p w:rsidR="00BA26E2" w:rsidRPr="00F06EF9" w:rsidRDefault="00BA26E2" w:rsidP="007E3217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</w:pPr>
    </w:p>
    <w:p w:rsidR="002A4C31" w:rsidRPr="00F06EF9" w:rsidRDefault="00181F9A" w:rsidP="007E3217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</w:pPr>
      <w:r w:rsidRPr="00F06EF9"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  <w:t xml:space="preserve">Call for Proposals: </w:t>
      </w:r>
      <w:r w:rsidR="002A4C31" w:rsidRPr="00F06EF9"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  <w:t>Evaluation Civil Society Catalytic Fund</w:t>
      </w:r>
    </w:p>
    <w:p w:rsidR="00233268" w:rsidRPr="00F06EF9" w:rsidRDefault="00233268" w:rsidP="007E3217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</w:pPr>
      <w:r w:rsidRPr="00F06EF9"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  <w:t>[Phase I]</w:t>
      </w:r>
    </w:p>
    <w:p w:rsidR="002A4C31" w:rsidRPr="00F06EF9" w:rsidRDefault="002A4C31" w:rsidP="007E3217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</w:pPr>
    </w:p>
    <w:p w:rsidR="002A4C31" w:rsidRPr="00F06EF9" w:rsidRDefault="002A4C31" w:rsidP="007E3217">
      <w:pPr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</w:p>
    <w:p w:rsidR="00D81908" w:rsidRPr="00F06EF9" w:rsidRDefault="00D81908" w:rsidP="007E3217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</w:pPr>
      <w:r w:rsidRPr="00F06EF9"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  <w:t>Background</w:t>
      </w:r>
    </w:p>
    <w:p w:rsidR="002A4C31" w:rsidRPr="00F06EF9" w:rsidRDefault="002A4C31" w:rsidP="007E3217">
      <w:pPr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F06EF9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The Inclusive Development Program is a 3-year program, implemented by UN-Habitat, Community Building Mitrovica (CBM) and PAX in Mitrovica region in </w:t>
      </w:r>
      <w:r w:rsidR="0031390E" w:rsidRPr="00F06EF9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northern </w:t>
      </w:r>
      <w:r w:rsidRPr="00F06EF9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Kosovo from 2018-2020. </w:t>
      </w:r>
      <w:r w:rsidR="00E87D30" w:rsidRPr="00F06EF9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Its overall goal is to ‘foster inclusive development and good governance in northern Kosovo through support to integration in Kosovo’s planning framework, with strong democratic oversight, local-central dialogue, and inter-municipal cooperation.’</w:t>
      </w:r>
    </w:p>
    <w:p w:rsidR="00E87D30" w:rsidRPr="00F06EF9" w:rsidRDefault="00E87D30" w:rsidP="007E3217">
      <w:pPr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</w:p>
    <w:p w:rsidR="00E87D30" w:rsidRPr="00F06EF9" w:rsidRDefault="002A769D" w:rsidP="007E3217">
      <w:pPr>
        <w:jc w:val="both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 w:rsidRPr="00F06EF9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The specific program component goal for CBM is </w:t>
      </w:r>
      <w:r w:rsidR="0031390E" w:rsidRPr="00F06EF9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to </w:t>
      </w:r>
      <w:r w:rsidRPr="00F06EF9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‘</w:t>
      </w:r>
      <w:r w:rsidR="00E4040C" w:rsidRPr="00F06EF9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Increase local government transparency, responsiveness and accountability through civil society mobilization and public dialogue</w:t>
      </w:r>
      <w:r w:rsidRPr="00F06EF9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.’</w:t>
      </w:r>
    </w:p>
    <w:p w:rsidR="00E4040C" w:rsidRPr="00F06EF9" w:rsidRDefault="00E4040C" w:rsidP="007E3217">
      <w:pPr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</w:p>
    <w:p w:rsidR="00D81908" w:rsidRPr="00F06EF9" w:rsidRDefault="00D81908" w:rsidP="007E3217">
      <w:pPr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F06EF9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CBM facilitates coordination and exchange of civil society organizations in Mitrovica region by hosting meetings for the Mitrovica Region Monitoring Team (</w:t>
      </w:r>
      <w:r w:rsidR="008B0059" w:rsidRPr="00F06EF9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MRMT</w:t>
      </w:r>
      <w:r w:rsidRPr="00F06EF9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), bringing together about 20 civil society organizations on a monthly basis. </w:t>
      </w:r>
      <w:r w:rsidR="007E3217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As part of the capacity building activities, </w:t>
      </w:r>
      <w:r w:rsidRPr="00F06EF9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MRMT members are given the opportunity to join workshops and on-the-job trainings on topics identified by the MRMT.</w:t>
      </w:r>
    </w:p>
    <w:p w:rsidR="002A4C31" w:rsidRPr="00F06EF9" w:rsidRDefault="00FD307C" w:rsidP="007E3217">
      <w:pPr>
        <w:jc w:val="both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 w:rsidRPr="00F06EF9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As part of civil society exchange and cooperation, </w:t>
      </w:r>
      <w:r w:rsidR="00E4040C" w:rsidRPr="00F06EF9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the </w:t>
      </w:r>
      <w:r w:rsidR="002A4C31" w:rsidRPr="00F06EF9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Civil Society Catalytic Fund (CSCF)</w:t>
      </w:r>
      <w:r w:rsidR="00E4040C" w:rsidRPr="00F06EF9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was developed to stimulate effective and innovative civil society action in northern Kosovo, with a </w:t>
      </w:r>
      <w:r w:rsidR="002A4C31" w:rsidRPr="00F06EF9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strong focus on collaboration between organizations representing diverse communities</w:t>
      </w:r>
      <w:r w:rsidR="00E4040C" w:rsidRPr="00F06EF9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. </w:t>
      </w:r>
    </w:p>
    <w:p w:rsidR="002A4C31" w:rsidRPr="00F06EF9" w:rsidRDefault="002A4C31" w:rsidP="007E3217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  <w:lang w:val="en-CA"/>
        </w:rPr>
      </w:pPr>
      <w:r w:rsidRPr="00F06EF9">
        <w:rPr>
          <w:rFonts w:asciiTheme="minorHAnsi" w:hAnsiTheme="minorHAnsi" w:cstheme="minorHAnsi"/>
          <w:b/>
          <w:sz w:val="22"/>
          <w:szCs w:val="22"/>
          <w:lang w:val="en-CA"/>
        </w:rPr>
        <w:t>Civil Society Catalytic Fund</w:t>
      </w:r>
      <w:r w:rsidR="00E4040C" w:rsidRPr="00F06EF9">
        <w:rPr>
          <w:rFonts w:asciiTheme="minorHAnsi" w:hAnsiTheme="minorHAnsi" w:cstheme="minorHAnsi"/>
          <w:b/>
          <w:sz w:val="22"/>
          <w:szCs w:val="22"/>
          <w:lang w:val="en-CA"/>
        </w:rPr>
        <w:t xml:space="preserve"> in brief:</w:t>
      </w:r>
    </w:p>
    <w:p w:rsidR="002A4C31" w:rsidRPr="00F06EF9" w:rsidRDefault="002A4C31" w:rsidP="007E321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i/>
          <w:lang w:val="en-CA"/>
        </w:rPr>
      </w:pPr>
      <w:r w:rsidRPr="00F06EF9">
        <w:rPr>
          <w:rFonts w:cstheme="minorHAnsi"/>
          <w:lang w:val="en-CA"/>
        </w:rPr>
        <w:t>Funded projects will strengthen civil society efforts to increase local government citizen participation and accountability, with activities including public mobilization, state-citizen dialogues, monitoring and reporting on local government performance, local policy research and analysis, and development of specific citizen participation and accountability measures within municipalities</w:t>
      </w:r>
      <w:r w:rsidR="00D81908" w:rsidRPr="00F06EF9">
        <w:rPr>
          <w:rFonts w:cstheme="minorHAnsi"/>
          <w:lang w:val="en-CA"/>
        </w:rPr>
        <w:t>;</w:t>
      </w:r>
    </w:p>
    <w:p w:rsidR="002A4C31" w:rsidRPr="00F06EF9" w:rsidRDefault="002A4C31" w:rsidP="007E321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i/>
          <w:lang w:val="en-CA"/>
        </w:rPr>
      </w:pPr>
      <w:r w:rsidRPr="00F06EF9">
        <w:rPr>
          <w:rFonts w:cstheme="minorHAnsi"/>
          <w:lang w:val="en-CA"/>
        </w:rPr>
        <w:t xml:space="preserve">Project proposals </w:t>
      </w:r>
      <w:r w:rsidR="00D81908" w:rsidRPr="00F06EF9">
        <w:rPr>
          <w:rFonts w:cstheme="minorHAnsi"/>
          <w:lang w:val="en-CA"/>
        </w:rPr>
        <w:t xml:space="preserve">are </w:t>
      </w:r>
      <w:r w:rsidRPr="00F06EF9">
        <w:rPr>
          <w:rFonts w:cstheme="minorHAnsi"/>
          <w:lang w:val="en-CA"/>
        </w:rPr>
        <w:t>solicited during 1-2 competitive open calls, and preference given to projects promoting north-north and / or north-south cooperation or cross-community contact and confidence-building</w:t>
      </w:r>
      <w:r w:rsidR="00D81908" w:rsidRPr="00F06EF9">
        <w:rPr>
          <w:rFonts w:cstheme="minorHAnsi"/>
          <w:lang w:val="en-CA"/>
        </w:rPr>
        <w:t>;</w:t>
      </w:r>
    </w:p>
    <w:p w:rsidR="002A4C31" w:rsidRPr="00F06EF9" w:rsidRDefault="002A4C31" w:rsidP="007E321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i/>
          <w:lang w:val="en-CA"/>
        </w:rPr>
      </w:pPr>
      <w:r w:rsidRPr="00F06EF9">
        <w:rPr>
          <w:rFonts w:cstheme="minorHAnsi"/>
          <w:lang w:val="en-CA" w:eastAsia="en-CA"/>
        </w:rPr>
        <w:t>Grantees will be expected to contribute 10% or more of the total budget</w:t>
      </w:r>
      <w:r w:rsidR="00D81908" w:rsidRPr="00F06EF9">
        <w:rPr>
          <w:rFonts w:cstheme="minorHAnsi"/>
          <w:lang w:val="en-CA" w:eastAsia="en-CA"/>
        </w:rPr>
        <w:t>;</w:t>
      </w:r>
    </w:p>
    <w:p w:rsidR="002A4C31" w:rsidRPr="00F06EF9" w:rsidRDefault="002A4C31" w:rsidP="007E321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i/>
          <w:lang w:val="en-CA"/>
        </w:rPr>
      </w:pPr>
      <w:r w:rsidRPr="00F06EF9">
        <w:rPr>
          <w:rFonts w:cstheme="minorHAnsi"/>
          <w:lang w:val="en-CA" w:eastAsia="en-CA"/>
        </w:rPr>
        <w:t>CSCF allocations will be determined by a 9-member independent review panel consisting of representatives of municipalities, MRMT, MESP and MLGA, donors, UN-Habitat, PAX and CBM (acting as chair)</w:t>
      </w:r>
      <w:r w:rsidR="00D81908" w:rsidRPr="00F06EF9">
        <w:rPr>
          <w:rFonts w:cstheme="minorHAnsi"/>
          <w:lang w:val="en-CA" w:eastAsia="en-CA"/>
        </w:rPr>
        <w:t>;</w:t>
      </w:r>
    </w:p>
    <w:p w:rsidR="002A4C31" w:rsidRPr="00F06EF9" w:rsidRDefault="002A4C31" w:rsidP="007E321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i/>
          <w:lang w:val="en-CA"/>
        </w:rPr>
      </w:pPr>
      <w:r w:rsidRPr="00F06EF9">
        <w:rPr>
          <w:rFonts w:cstheme="minorHAnsi"/>
          <w:lang w:val="en-ZW"/>
        </w:rPr>
        <w:t>Technical</w:t>
      </w:r>
      <w:r w:rsidRPr="00F06EF9">
        <w:rPr>
          <w:rFonts w:cstheme="minorHAnsi"/>
          <w:lang w:val="en-CA" w:eastAsia="en-CA"/>
        </w:rPr>
        <w:t xml:space="preserve"> advice, knowledge-sharing, and resource-pooling will be facilitated by programme personnel</w:t>
      </w:r>
      <w:r w:rsidR="00D81908" w:rsidRPr="00F06EF9">
        <w:rPr>
          <w:rFonts w:cstheme="minorHAnsi"/>
          <w:lang w:val="en-CA" w:eastAsia="en-CA"/>
        </w:rPr>
        <w:t>.</w:t>
      </w:r>
    </w:p>
    <w:p w:rsidR="002A4C31" w:rsidRPr="00F06EF9" w:rsidRDefault="002A4C31" w:rsidP="007E3217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n-CA" w:eastAsia="en-US"/>
        </w:rPr>
      </w:pPr>
    </w:p>
    <w:p w:rsidR="00E4040C" w:rsidRPr="00F06EF9" w:rsidRDefault="000937DE" w:rsidP="007E3217">
      <w:pPr>
        <w:jc w:val="both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Initiated in May 2018</w:t>
      </w:r>
      <w:r w:rsidR="00E4040C" w:rsidRPr="00F06EF9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the first round of </w:t>
      </w:r>
      <w:r w:rsidR="0031390E" w:rsidRPr="00F06EF9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CSCF </w:t>
      </w:r>
      <w:r w:rsidR="00E4040C" w:rsidRPr="00F06EF9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grantees implemented </w:t>
      </w:r>
      <w:r w:rsidR="00D81908" w:rsidRPr="00F06EF9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three </w:t>
      </w:r>
      <w:r w:rsidR="00E4040C" w:rsidRPr="00F06EF9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projects. </w:t>
      </w:r>
      <w:r w:rsidR="00D81908" w:rsidRPr="00F06EF9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CBM now wants to evaluate this process and projects, in order to learn and improve practice. In addition to the CSCF round-1 process and projects, </w:t>
      </w:r>
      <w:r w:rsidR="00362766" w:rsidRPr="00F06EF9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also the functioning and capacity building of MRMT is to be included in this evaluation.</w:t>
      </w:r>
    </w:p>
    <w:p w:rsidR="00E4040C" w:rsidRPr="00F06EF9" w:rsidRDefault="00E4040C" w:rsidP="007E3217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</w:pPr>
    </w:p>
    <w:p w:rsidR="002A4C31" w:rsidRPr="00F06EF9" w:rsidRDefault="002A4C31" w:rsidP="007E3217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</w:pPr>
    </w:p>
    <w:p w:rsidR="00847A2C" w:rsidRDefault="00847A2C" w:rsidP="007E3217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</w:pPr>
    </w:p>
    <w:p w:rsidR="00847A2C" w:rsidRDefault="00847A2C" w:rsidP="007E3217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</w:pPr>
    </w:p>
    <w:p w:rsidR="00847A2C" w:rsidRDefault="00847A2C" w:rsidP="007E3217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</w:pPr>
    </w:p>
    <w:p w:rsidR="002A4C31" w:rsidRPr="00F06EF9" w:rsidRDefault="002A4C31" w:rsidP="007E3217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</w:pPr>
      <w:r w:rsidRPr="00F06EF9"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  <w:t xml:space="preserve">Based on the above, the terms of reference for the assignment is as follows: </w:t>
      </w:r>
    </w:p>
    <w:p w:rsidR="002A4C31" w:rsidRPr="00F06EF9" w:rsidRDefault="002A4C31" w:rsidP="007E321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leGrid"/>
        <w:tblW w:w="9493" w:type="dxa"/>
        <w:tblLook w:val="04A0"/>
      </w:tblPr>
      <w:tblGrid>
        <w:gridCol w:w="1555"/>
        <w:gridCol w:w="7938"/>
      </w:tblGrid>
      <w:tr w:rsidR="002A4C31" w:rsidRPr="00F06EF9" w:rsidTr="00CD24D5">
        <w:tc>
          <w:tcPr>
            <w:tcW w:w="1555" w:type="dxa"/>
            <w:shd w:val="clear" w:color="auto" w:fill="D9D9D9" w:themeFill="background1" w:themeFillShade="D9"/>
          </w:tcPr>
          <w:p w:rsidR="002A4C31" w:rsidRPr="00F06EF9" w:rsidRDefault="00B71C21" w:rsidP="007E321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6E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7938" w:type="dxa"/>
          </w:tcPr>
          <w:p w:rsidR="00362766" w:rsidRPr="00F06EF9" w:rsidRDefault="00362766" w:rsidP="007E321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6EF9">
              <w:rPr>
                <w:rFonts w:asciiTheme="minorHAnsi" w:hAnsiTheme="minorHAnsi" w:cstheme="minorHAnsi"/>
                <w:sz w:val="22"/>
                <w:szCs w:val="22"/>
              </w:rPr>
              <w:t>Evaluation of CSCF-1 process &amp; projects + MRMT capacity building</w:t>
            </w:r>
          </w:p>
        </w:tc>
      </w:tr>
      <w:tr w:rsidR="009C5ACD" w:rsidRPr="00F06EF9" w:rsidTr="00CD24D5">
        <w:tc>
          <w:tcPr>
            <w:tcW w:w="1555" w:type="dxa"/>
            <w:shd w:val="clear" w:color="auto" w:fill="D9D9D9" w:themeFill="background1" w:themeFillShade="D9"/>
          </w:tcPr>
          <w:p w:rsidR="009C5ACD" w:rsidRPr="00F06EF9" w:rsidRDefault="00362766" w:rsidP="007E321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6E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Overall purpose</w:t>
            </w:r>
          </w:p>
        </w:tc>
        <w:tc>
          <w:tcPr>
            <w:tcW w:w="7938" w:type="dxa"/>
          </w:tcPr>
          <w:p w:rsidR="009C5ACD" w:rsidRPr="00F06EF9" w:rsidRDefault="003F7E2A" w:rsidP="007E321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6EF9">
              <w:rPr>
                <w:rFonts w:asciiTheme="minorHAnsi" w:hAnsiTheme="minorHAnsi" w:cstheme="minorHAnsi"/>
                <w:sz w:val="22"/>
                <w:szCs w:val="22"/>
              </w:rPr>
              <w:t>Drawing lessons on how to support and sustain cooperation, exchange and joint action among civil society in Mitrovica region</w:t>
            </w:r>
          </w:p>
          <w:p w:rsidR="003F7E2A" w:rsidRPr="00F06EF9" w:rsidRDefault="003F7E2A" w:rsidP="007E321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4C31" w:rsidRPr="00F06EF9" w:rsidTr="00CD24D5">
        <w:tc>
          <w:tcPr>
            <w:tcW w:w="1555" w:type="dxa"/>
            <w:shd w:val="clear" w:color="auto" w:fill="D9D9D9" w:themeFill="background1" w:themeFillShade="D9"/>
          </w:tcPr>
          <w:p w:rsidR="002A4C31" w:rsidRPr="00F06EF9" w:rsidRDefault="00B71C21" w:rsidP="007E321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6E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Scope of evaluation</w:t>
            </w:r>
          </w:p>
        </w:tc>
        <w:tc>
          <w:tcPr>
            <w:tcW w:w="7938" w:type="dxa"/>
          </w:tcPr>
          <w:p w:rsidR="005E54C0" w:rsidRPr="00F06EF9" w:rsidRDefault="005E54C0" w:rsidP="007E3217">
            <w:pPr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06EF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(A) CSCF</w:t>
            </w:r>
          </w:p>
          <w:p w:rsidR="00362766" w:rsidRPr="00F06EF9" w:rsidRDefault="005E54C0" w:rsidP="007E3217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HAnsi" w:cstheme="minorHAnsi"/>
                <w:lang w:eastAsia="en-US"/>
              </w:rPr>
            </w:pPr>
            <w:r w:rsidRPr="00F06EF9">
              <w:rPr>
                <w:rFonts w:eastAsiaTheme="minorHAnsi" w:cstheme="minorHAnsi"/>
                <w:lang w:eastAsia="en-US"/>
              </w:rPr>
              <w:t>G</w:t>
            </w:r>
            <w:r w:rsidR="00362766" w:rsidRPr="00F06EF9">
              <w:rPr>
                <w:rFonts w:eastAsiaTheme="minorHAnsi" w:cstheme="minorHAnsi"/>
                <w:lang w:eastAsia="en-US"/>
              </w:rPr>
              <w:t>rant process</w:t>
            </w:r>
            <w:r w:rsidRPr="00F06EF9">
              <w:rPr>
                <w:rFonts w:eastAsiaTheme="minorHAnsi" w:cstheme="minorHAnsi"/>
                <w:lang w:eastAsia="en-US"/>
              </w:rPr>
              <w:t xml:space="preserve"> CSCF-1(looking at guidance, support and monitoring)</w:t>
            </w:r>
          </w:p>
          <w:p w:rsidR="00362766" w:rsidRPr="00F06EF9" w:rsidRDefault="005E54C0" w:rsidP="007E3217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HAnsi" w:cstheme="minorHAnsi"/>
                <w:lang w:eastAsia="en-US"/>
              </w:rPr>
            </w:pPr>
            <w:r w:rsidRPr="00F06EF9">
              <w:rPr>
                <w:rFonts w:eastAsiaTheme="minorHAnsi" w:cstheme="minorHAnsi"/>
                <w:lang w:eastAsia="en-US"/>
              </w:rPr>
              <w:t>I</w:t>
            </w:r>
            <w:r w:rsidR="00362766" w:rsidRPr="00F06EF9">
              <w:rPr>
                <w:rFonts w:eastAsiaTheme="minorHAnsi" w:cstheme="minorHAnsi"/>
                <w:lang w:eastAsia="en-US"/>
              </w:rPr>
              <w:t xml:space="preserve">mpact of achievements </w:t>
            </w:r>
            <w:r w:rsidRPr="00F06EF9">
              <w:rPr>
                <w:rFonts w:eastAsiaTheme="minorHAnsi" w:cstheme="minorHAnsi"/>
                <w:lang w:eastAsia="en-US"/>
              </w:rPr>
              <w:t xml:space="preserve">of 3 projects on </w:t>
            </w:r>
            <w:r w:rsidR="00362766" w:rsidRPr="00F06EF9">
              <w:rPr>
                <w:rFonts w:eastAsiaTheme="minorHAnsi" w:cstheme="minorHAnsi"/>
                <w:lang w:eastAsia="en-US"/>
              </w:rPr>
              <w:t>5 criteria</w:t>
            </w:r>
            <w:r w:rsidRPr="00F06EF9">
              <w:rPr>
                <w:rFonts w:eastAsiaTheme="minorHAnsi" w:cstheme="minorHAnsi"/>
                <w:lang w:eastAsia="en-US"/>
              </w:rPr>
              <w:t>;</w:t>
            </w:r>
          </w:p>
          <w:p w:rsidR="00362766" w:rsidRPr="00F06EF9" w:rsidRDefault="00362766" w:rsidP="007E3217">
            <w:pPr>
              <w:pStyle w:val="ListParagraph"/>
              <w:numPr>
                <w:ilvl w:val="1"/>
                <w:numId w:val="11"/>
              </w:numPr>
              <w:spacing w:line="240" w:lineRule="auto"/>
              <w:jc w:val="both"/>
              <w:rPr>
                <w:rFonts w:eastAsiaTheme="minorHAnsi" w:cstheme="minorHAnsi"/>
                <w:lang w:eastAsia="en-US"/>
              </w:rPr>
            </w:pPr>
            <w:r w:rsidRPr="00F06EF9">
              <w:rPr>
                <w:rFonts w:eastAsiaTheme="minorHAnsi" w:cstheme="minorHAnsi"/>
                <w:lang w:eastAsia="en-US"/>
              </w:rPr>
              <w:t>state-citizen dialogue</w:t>
            </w:r>
          </w:p>
          <w:p w:rsidR="00362766" w:rsidRPr="00F06EF9" w:rsidRDefault="00362766" w:rsidP="007E3217">
            <w:pPr>
              <w:pStyle w:val="ListParagraph"/>
              <w:numPr>
                <w:ilvl w:val="1"/>
                <w:numId w:val="11"/>
              </w:numPr>
              <w:spacing w:line="240" w:lineRule="auto"/>
              <w:jc w:val="both"/>
              <w:rPr>
                <w:rFonts w:eastAsiaTheme="minorHAnsi" w:cstheme="minorHAnsi"/>
                <w:lang w:eastAsia="en-US"/>
              </w:rPr>
            </w:pPr>
            <w:r w:rsidRPr="00F06EF9">
              <w:rPr>
                <w:rFonts w:eastAsiaTheme="minorHAnsi" w:cstheme="minorHAnsi"/>
                <w:lang w:eastAsia="en-US"/>
              </w:rPr>
              <w:t>citizen participation</w:t>
            </w:r>
          </w:p>
          <w:p w:rsidR="00362766" w:rsidRPr="00F06EF9" w:rsidRDefault="00362766" w:rsidP="007E3217">
            <w:pPr>
              <w:pStyle w:val="ListParagraph"/>
              <w:numPr>
                <w:ilvl w:val="1"/>
                <w:numId w:val="11"/>
              </w:numPr>
              <w:spacing w:line="240" w:lineRule="auto"/>
              <w:jc w:val="both"/>
              <w:rPr>
                <w:rFonts w:eastAsiaTheme="minorHAnsi" w:cstheme="minorHAnsi"/>
                <w:lang w:eastAsia="en-US"/>
              </w:rPr>
            </w:pPr>
            <w:r w:rsidRPr="00F06EF9">
              <w:rPr>
                <w:rFonts w:eastAsiaTheme="minorHAnsi" w:cstheme="minorHAnsi"/>
                <w:lang w:eastAsia="en-US"/>
              </w:rPr>
              <w:t>publications</w:t>
            </w:r>
            <w:r w:rsidR="005E54C0" w:rsidRPr="00F06EF9">
              <w:rPr>
                <w:rFonts w:eastAsiaTheme="minorHAnsi" w:cstheme="minorHAnsi"/>
                <w:lang w:eastAsia="en-US"/>
              </w:rPr>
              <w:t>/ materials produced</w:t>
            </w:r>
          </w:p>
          <w:p w:rsidR="005E54C0" w:rsidRPr="00F06EF9" w:rsidRDefault="005E54C0" w:rsidP="007E3217">
            <w:pPr>
              <w:pStyle w:val="ListParagraph"/>
              <w:numPr>
                <w:ilvl w:val="1"/>
                <w:numId w:val="11"/>
              </w:numPr>
              <w:spacing w:line="240" w:lineRule="auto"/>
              <w:jc w:val="both"/>
              <w:rPr>
                <w:rFonts w:eastAsiaTheme="minorHAnsi" w:cstheme="minorHAnsi"/>
                <w:lang w:eastAsia="en-US"/>
              </w:rPr>
            </w:pPr>
            <w:r w:rsidRPr="00F06EF9">
              <w:rPr>
                <w:rFonts w:eastAsiaTheme="minorHAnsi" w:cstheme="minorHAnsi"/>
                <w:lang w:eastAsia="en-US"/>
              </w:rPr>
              <w:t>sustainability</w:t>
            </w:r>
            <w:r w:rsidR="002318FC" w:rsidRPr="00F06EF9">
              <w:rPr>
                <w:rFonts w:eastAsiaTheme="minorHAnsi" w:cstheme="minorHAnsi"/>
                <w:lang w:eastAsia="en-US"/>
              </w:rPr>
              <w:t>; catalytic effect?</w:t>
            </w:r>
          </w:p>
          <w:p w:rsidR="005E54C0" w:rsidRPr="00F06EF9" w:rsidRDefault="005E54C0" w:rsidP="007E3217">
            <w:pPr>
              <w:pStyle w:val="ListParagraph"/>
              <w:numPr>
                <w:ilvl w:val="1"/>
                <w:numId w:val="11"/>
              </w:numPr>
              <w:spacing w:line="240" w:lineRule="auto"/>
              <w:jc w:val="both"/>
              <w:rPr>
                <w:rFonts w:eastAsiaTheme="minorHAnsi" w:cstheme="minorHAnsi"/>
                <w:lang w:eastAsia="en-US"/>
              </w:rPr>
            </w:pPr>
            <w:r w:rsidRPr="00F06EF9">
              <w:rPr>
                <w:rFonts w:eastAsiaTheme="minorHAnsi" w:cstheme="minorHAnsi"/>
                <w:lang w:eastAsia="en-US"/>
              </w:rPr>
              <w:t>inter-ethnic exchange</w:t>
            </w:r>
          </w:p>
          <w:p w:rsidR="00362766" w:rsidRPr="00F06EF9" w:rsidRDefault="00362766" w:rsidP="007E3217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HAnsi" w:cstheme="minorHAnsi"/>
                <w:lang w:eastAsia="en-US"/>
              </w:rPr>
            </w:pPr>
            <w:r w:rsidRPr="00F06EF9">
              <w:rPr>
                <w:rFonts w:eastAsiaTheme="minorHAnsi" w:cstheme="minorHAnsi"/>
                <w:lang w:eastAsia="en-US"/>
              </w:rPr>
              <w:t>NGO/CSO cooperation</w:t>
            </w:r>
            <w:r w:rsidR="005E54C0" w:rsidRPr="00F06EF9">
              <w:rPr>
                <w:rFonts w:eastAsiaTheme="minorHAnsi" w:cstheme="minorHAnsi"/>
                <w:lang w:eastAsia="en-US"/>
              </w:rPr>
              <w:t xml:space="preserve"> under CSCF</w:t>
            </w:r>
          </w:p>
          <w:p w:rsidR="005E54C0" w:rsidRPr="00F06EF9" w:rsidRDefault="005E54C0" w:rsidP="007E3217">
            <w:pPr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06EF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(B) MRMT</w:t>
            </w:r>
          </w:p>
          <w:p w:rsidR="005E54C0" w:rsidRPr="00F06EF9" w:rsidRDefault="005E54C0" w:rsidP="007E3217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HAnsi" w:cstheme="minorHAnsi"/>
                <w:lang w:eastAsia="en-US"/>
              </w:rPr>
            </w:pPr>
            <w:r w:rsidRPr="00F06EF9">
              <w:rPr>
                <w:rFonts w:eastAsiaTheme="minorHAnsi" w:cstheme="minorHAnsi"/>
                <w:lang w:eastAsia="en-US"/>
              </w:rPr>
              <w:t>NGO/CSO exchange &amp; cooperation under MRMT</w:t>
            </w:r>
          </w:p>
          <w:p w:rsidR="00362766" w:rsidRPr="00F06EF9" w:rsidRDefault="00362766" w:rsidP="007E3217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HAnsi" w:cstheme="minorHAnsi"/>
                <w:lang w:eastAsia="en-US"/>
              </w:rPr>
            </w:pPr>
            <w:r w:rsidRPr="00F06EF9">
              <w:rPr>
                <w:rFonts w:eastAsiaTheme="minorHAnsi" w:cstheme="minorHAnsi"/>
                <w:lang w:eastAsia="en-US"/>
              </w:rPr>
              <w:t>MRMT: capacity building of CSOs</w:t>
            </w:r>
          </w:p>
          <w:p w:rsidR="002A4C31" w:rsidRPr="00F06EF9" w:rsidRDefault="002A4C31" w:rsidP="007E3217">
            <w:pPr>
              <w:pStyle w:val="ListParagraph"/>
              <w:tabs>
                <w:tab w:val="left" w:pos="0"/>
              </w:tabs>
              <w:spacing w:after="0" w:line="240" w:lineRule="auto"/>
              <w:ind w:left="284"/>
              <w:contextualSpacing w:val="0"/>
              <w:jc w:val="both"/>
              <w:rPr>
                <w:rFonts w:cstheme="minorHAnsi"/>
              </w:rPr>
            </w:pPr>
          </w:p>
        </w:tc>
      </w:tr>
      <w:tr w:rsidR="002A4C31" w:rsidRPr="00F06EF9" w:rsidTr="00CD24D5">
        <w:tc>
          <w:tcPr>
            <w:tcW w:w="1555" w:type="dxa"/>
            <w:shd w:val="clear" w:color="auto" w:fill="D9D9D9" w:themeFill="background1" w:themeFillShade="D9"/>
          </w:tcPr>
          <w:p w:rsidR="002A4C31" w:rsidRPr="00F06EF9" w:rsidRDefault="005E54C0" w:rsidP="007E321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6E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Tasks</w:t>
            </w:r>
          </w:p>
        </w:tc>
        <w:tc>
          <w:tcPr>
            <w:tcW w:w="7938" w:type="dxa"/>
          </w:tcPr>
          <w:p w:rsidR="00B71C21" w:rsidRPr="00F06EF9" w:rsidRDefault="00B71C21" w:rsidP="007E321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06EF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Under the supervision and in close co-operation with CBM, the </w:t>
            </w:r>
            <w:r w:rsidR="005E54C0" w:rsidRPr="00F06EF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Consultant </w:t>
            </w:r>
            <w:r w:rsidRPr="00F06EF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will implement the following tasks:</w:t>
            </w:r>
          </w:p>
          <w:p w:rsidR="005E54C0" w:rsidRPr="00F06EF9" w:rsidRDefault="00B71C21" w:rsidP="007E3217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F06EF9">
              <w:rPr>
                <w:rFonts w:cstheme="minorHAnsi"/>
                <w:lang w:val="en-GB"/>
              </w:rPr>
              <w:t>Creation of the</w:t>
            </w:r>
            <w:r w:rsidR="005E54C0" w:rsidRPr="00F06EF9">
              <w:rPr>
                <w:rFonts w:cstheme="minorHAnsi"/>
                <w:lang w:val="en-GB"/>
              </w:rPr>
              <w:t xml:space="preserve"> evaluation </w:t>
            </w:r>
            <w:r w:rsidRPr="00F06EF9">
              <w:rPr>
                <w:rFonts w:cstheme="minorHAnsi"/>
                <w:lang w:val="en-GB"/>
              </w:rPr>
              <w:t>methodology</w:t>
            </w:r>
          </w:p>
          <w:p w:rsidR="001A26B4" w:rsidRPr="00F06EF9" w:rsidRDefault="001A26B4" w:rsidP="007E3217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F06EF9">
              <w:rPr>
                <w:rFonts w:cstheme="minorHAnsi"/>
                <w:lang w:val="en-GB"/>
              </w:rPr>
              <w:t xml:space="preserve">Desk-study of CSCF materials </w:t>
            </w:r>
          </w:p>
          <w:p w:rsidR="001A26B4" w:rsidRPr="00F06EF9" w:rsidRDefault="001A26B4" w:rsidP="007E3217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F06EF9">
              <w:rPr>
                <w:rFonts w:cstheme="minorHAnsi"/>
                <w:lang w:val="en-GB"/>
              </w:rPr>
              <w:t>Interviews with Project Team (CBM staff + CAA’s)</w:t>
            </w:r>
          </w:p>
          <w:p w:rsidR="005E54C0" w:rsidRPr="00F06EF9" w:rsidRDefault="005E54C0" w:rsidP="007E3217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F06EF9">
              <w:rPr>
                <w:rFonts w:cstheme="minorHAnsi"/>
              </w:rPr>
              <w:t>Interviews with</w:t>
            </w:r>
            <w:r w:rsidR="000937DE">
              <w:rPr>
                <w:rFonts w:cstheme="minorHAnsi"/>
              </w:rPr>
              <w:t xml:space="preserve"> </w:t>
            </w:r>
            <w:r w:rsidR="001A26B4" w:rsidRPr="00F06EF9">
              <w:rPr>
                <w:rFonts w:cstheme="minorHAnsi"/>
              </w:rPr>
              <w:t xml:space="preserve">(5) </w:t>
            </w:r>
            <w:r w:rsidRPr="00F06EF9">
              <w:rPr>
                <w:rFonts w:cstheme="minorHAnsi"/>
              </w:rPr>
              <w:t>CSCF grantees</w:t>
            </w:r>
            <w:r w:rsidR="000937DE">
              <w:rPr>
                <w:rFonts w:cstheme="minorHAnsi"/>
              </w:rPr>
              <w:t xml:space="preserve"> (3 lead applicants and 2 co-applicants)</w:t>
            </w:r>
            <w:r w:rsidR="001A26B4" w:rsidRPr="00F06EF9">
              <w:rPr>
                <w:rFonts w:cstheme="minorHAnsi"/>
              </w:rPr>
              <w:t xml:space="preserve"> of 3</w:t>
            </w:r>
            <w:r w:rsidR="000937DE">
              <w:rPr>
                <w:rFonts w:cstheme="minorHAnsi"/>
              </w:rPr>
              <w:t xml:space="preserve"> awarded</w:t>
            </w:r>
            <w:r w:rsidR="001A26B4" w:rsidRPr="00F06EF9">
              <w:rPr>
                <w:rFonts w:cstheme="minorHAnsi"/>
              </w:rPr>
              <w:t xml:space="preserve"> projects</w:t>
            </w:r>
          </w:p>
          <w:p w:rsidR="005E54C0" w:rsidRPr="00F06EF9" w:rsidRDefault="005E54C0" w:rsidP="007E3217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F06EF9">
              <w:rPr>
                <w:rFonts w:cstheme="minorHAnsi"/>
              </w:rPr>
              <w:t xml:space="preserve">Interviews with </w:t>
            </w:r>
            <w:r w:rsidR="001A26B4" w:rsidRPr="00F06EF9">
              <w:rPr>
                <w:rFonts w:cstheme="minorHAnsi"/>
              </w:rPr>
              <w:t>relevant municipal representatives</w:t>
            </w:r>
          </w:p>
          <w:p w:rsidR="001A26B4" w:rsidRPr="00F06EF9" w:rsidRDefault="001A26B4" w:rsidP="007E3217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F06EF9">
              <w:rPr>
                <w:rFonts w:cstheme="minorHAnsi"/>
              </w:rPr>
              <w:t>Interviews with beneficiaries in the relevant municipalities</w:t>
            </w:r>
          </w:p>
          <w:p w:rsidR="001A26B4" w:rsidRPr="00F06EF9" w:rsidRDefault="001A26B4" w:rsidP="007E3217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F06EF9">
              <w:rPr>
                <w:rFonts w:cstheme="minorHAnsi"/>
              </w:rPr>
              <w:t>Interviews with MRMT</w:t>
            </w:r>
          </w:p>
          <w:p w:rsidR="002A4C31" w:rsidRPr="00F06EF9" w:rsidRDefault="001A26B4" w:rsidP="007E3217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</w:rPr>
            </w:pPr>
            <w:r w:rsidRPr="00F06EF9">
              <w:rPr>
                <w:rFonts w:cstheme="minorHAnsi"/>
              </w:rPr>
              <w:t xml:space="preserve">Draft + final report writing </w:t>
            </w:r>
          </w:p>
        </w:tc>
      </w:tr>
      <w:tr w:rsidR="002A4C31" w:rsidRPr="00F06EF9" w:rsidTr="00CD24D5">
        <w:tc>
          <w:tcPr>
            <w:tcW w:w="1555" w:type="dxa"/>
            <w:shd w:val="clear" w:color="auto" w:fill="D9D9D9" w:themeFill="background1" w:themeFillShade="D9"/>
          </w:tcPr>
          <w:p w:rsidR="002A4C31" w:rsidRPr="00F06EF9" w:rsidRDefault="002A4C31" w:rsidP="007E321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6E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7938" w:type="dxa"/>
          </w:tcPr>
          <w:p w:rsidR="002A4C31" w:rsidRPr="00F06EF9" w:rsidRDefault="00362766" w:rsidP="007E321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6EF9">
              <w:rPr>
                <w:rFonts w:asciiTheme="minorHAnsi" w:hAnsiTheme="minorHAnsi" w:cstheme="minorHAnsi"/>
                <w:sz w:val="22"/>
                <w:szCs w:val="22"/>
              </w:rPr>
              <w:t>3 months; mid-September to mid-December 2019</w:t>
            </w:r>
          </w:p>
        </w:tc>
      </w:tr>
      <w:tr w:rsidR="002A4C31" w:rsidRPr="00F06EF9" w:rsidTr="00CD24D5">
        <w:tc>
          <w:tcPr>
            <w:tcW w:w="1555" w:type="dxa"/>
            <w:shd w:val="clear" w:color="auto" w:fill="D9D9D9" w:themeFill="background1" w:themeFillShade="D9"/>
          </w:tcPr>
          <w:p w:rsidR="002A4C31" w:rsidRPr="00F06EF9" w:rsidRDefault="00362766" w:rsidP="007E321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6E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# </w:t>
            </w:r>
            <w:r w:rsidR="00D62EBE" w:rsidRPr="00F06E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F06E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ays</w:t>
            </w:r>
          </w:p>
        </w:tc>
        <w:tc>
          <w:tcPr>
            <w:tcW w:w="7938" w:type="dxa"/>
          </w:tcPr>
          <w:p w:rsidR="00362766" w:rsidRPr="00F06EF9" w:rsidRDefault="00362766" w:rsidP="007E321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06EF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# Days preparation: </w:t>
            </w:r>
            <w:r w:rsidRPr="00F06EF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F06EF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3</w:t>
            </w:r>
          </w:p>
          <w:p w:rsidR="00362766" w:rsidRPr="00F06EF9" w:rsidRDefault="00362766" w:rsidP="007E321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06EF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# Days evaluation in field</w:t>
            </w:r>
            <w:r w:rsidRPr="00F06EF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8</w:t>
            </w:r>
            <w:r w:rsidR="00F06EF9" w:rsidRPr="00F06EF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-10</w:t>
            </w:r>
          </w:p>
          <w:p w:rsidR="00362766" w:rsidRPr="00F06EF9" w:rsidRDefault="00362766" w:rsidP="007E321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06EF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# Days report writing</w:t>
            </w:r>
            <w:r w:rsidRPr="00F06EF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F06EF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="00F06EF9" w:rsidRPr="00F06EF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3-5</w:t>
            </w:r>
          </w:p>
          <w:p w:rsidR="002A4C31" w:rsidRPr="00F06EF9" w:rsidRDefault="00F06EF9" w:rsidP="007E321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6EF9">
              <w:rPr>
                <w:rFonts w:asciiTheme="minorHAnsi" w:hAnsiTheme="minorHAnsi" w:cstheme="minorHAnsi"/>
                <w:sz w:val="22"/>
                <w:szCs w:val="22"/>
              </w:rPr>
              <w:t xml:space="preserve">Total: 14-18 (max.) days </w:t>
            </w:r>
          </w:p>
        </w:tc>
      </w:tr>
      <w:tr w:rsidR="002A4C31" w:rsidRPr="00F06EF9" w:rsidTr="00CD24D5">
        <w:tc>
          <w:tcPr>
            <w:tcW w:w="1555" w:type="dxa"/>
            <w:shd w:val="clear" w:color="auto" w:fill="D9D9D9" w:themeFill="background1" w:themeFillShade="D9"/>
          </w:tcPr>
          <w:p w:rsidR="002A4C31" w:rsidRPr="00F06EF9" w:rsidRDefault="00362766" w:rsidP="007E321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6E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Deliverables</w:t>
            </w:r>
          </w:p>
        </w:tc>
        <w:tc>
          <w:tcPr>
            <w:tcW w:w="7938" w:type="dxa"/>
          </w:tcPr>
          <w:p w:rsidR="00F06EF9" w:rsidRDefault="00F06EF9" w:rsidP="007E321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F06EF9">
              <w:rPr>
                <w:rFonts w:cstheme="minorHAnsi"/>
              </w:rPr>
              <w:t>Work plan</w:t>
            </w:r>
          </w:p>
          <w:p w:rsidR="002A4C31" w:rsidRPr="00F06EF9" w:rsidRDefault="00F06EF9" w:rsidP="007E321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Evaluation report with recommendations (max. 10 pages)</w:t>
            </w:r>
          </w:p>
        </w:tc>
      </w:tr>
    </w:tbl>
    <w:p w:rsidR="002A4C31" w:rsidRPr="00F06EF9" w:rsidRDefault="002A4C31" w:rsidP="007E321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2A769D" w:rsidRDefault="002A769D" w:rsidP="007E3217">
      <w:pPr>
        <w:tabs>
          <w:tab w:val="left" w:pos="113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6EF9">
        <w:rPr>
          <w:rFonts w:asciiTheme="minorHAnsi" w:hAnsiTheme="minorHAnsi" w:cstheme="minorHAnsi"/>
          <w:b/>
          <w:bCs/>
          <w:sz w:val="22"/>
          <w:szCs w:val="22"/>
        </w:rPr>
        <w:t>Requiredqualificationsand skills</w:t>
      </w:r>
    </w:p>
    <w:p w:rsidR="00847A2C" w:rsidRPr="00F06EF9" w:rsidRDefault="00847A2C" w:rsidP="007E3217">
      <w:pPr>
        <w:tabs>
          <w:tab w:val="left" w:pos="113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A769D" w:rsidRPr="00F06EF9" w:rsidRDefault="002A769D" w:rsidP="007E321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06EF9">
        <w:rPr>
          <w:rFonts w:asciiTheme="minorHAnsi" w:hAnsiTheme="minorHAnsi" w:cstheme="minorHAnsi"/>
          <w:sz w:val="22"/>
          <w:szCs w:val="22"/>
          <w:lang w:val="en-GB"/>
        </w:rPr>
        <w:t xml:space="preserve">University degree, e.g. in Social Science or other relevant field; </w:t>
      </w:r>
    </w:p>
    <w:p w:rsidR="002A769D" w:rsidRPr="00F06EF9" w:rsidRDefault="002A769D" w:rsidP="007E321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06EF9">
        <w:rPr>
          <w:rFonts w:asciiTheme="minorHAnsi" w:hAnsiTheme="minorHAnsi" w:cstheme="minorHAnsi"/>
          <w:sz w:val="22"/>
          <w:szCs w:val="22"/>
          <w:lang w:val="en-GB"/>
        </w:rPr>
        <w:t xml:space="preserve">At least 5 years </w:t>
      </w:r>
      <w:r w:rsidR="00207A83" w:rsidRPr="00F06EF9">
        <w:rPr>
          <w:rFonts w:asciiTheme="minorHAnsi" w:hAnsiTheme="minorHAnsi" w:cstheme="minorHAnsi"/>
          <w:sz w:val="22"/>
          <w:szCs w:val="22"/>
          <w:lang w:val="en-GB"/>
        </w:rPr>
        <w:t xml:space="preserve">demonstrable </w:t>
      </w:r>
      <w:r w:rsidRPr="00F06EF9">
        <w:rPr>
          <w:rFonts w:asciiTheme="minorHAnsi" w:hAnsiTheme="minorHAnsi" w:cstheme="minorHAnsi"/>
          <w:sz w:val="22"/>
          <w:szCs w:val="22"/>
          <w:lang w:val="en-GB"/>
        </w:rPr>
        <w:t xml:space="preserve">experience in Monitoring &amp; Evaluation of projects; </w:t>
      </w:r>
    </w:p>
    <w:p w:rsidR="002A769D" w:rsidRPr="00F06EF9" w:rsidRDefault="002A769D" w:rsidP="007E321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06EF9">
        <w:rPr>
          <w:rFonts w:asciiTheme="minorHAnsi" w:hAnsiTheme="minorHAnsi" w:cstheme="minorHAnsi"/>
          <w:sz w:val="22"/>
          <w:szCs w:val="22"/>
          <w:lang w:val="en-GB"/>
        </w:rPr>
        <w:t>Knowledge of and experience in working cross-community in the Kosovo context;</w:t>
      </w:r>
    </w:p>
    <w:p w:rsidR="002A769D" w:rsidRPr="00F06EF9" w:rsidRDefault="002A769D" w:rsidP="007E321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06EF9">
        <w:rPr>
          <w:rFonts w:asciiTheme="minorHAnsi" w:hAnsiTheme="minorHAnsi" w:cstheme="minorHAnsi"/>
          <w:sz w:val="22"/>
          <w:szCs w:val="22"/>
          <w:lang w:val="en-GB"/>
        </w:rPr>
        <w:lastRenderedPageBreak/>
        <w:t xml:space="preserve">Solid familiarity with civil society sector in Kosovo; </w:t>
      </w:r>
      <w:r w:rsidRPr="00F06EF9">
        <w:rPr>
          <w:rFonts w:asciiTheme="minorHAnsi" w:hAnsiTheme="minorHAnsi" w:cstheme="minorHAnsi"/>
          <w:sz w:val="22"/>
          <w:szCs w:val="22"/>
          <w:lang w:val="en-GB"/>
        </w:rPr>
        <w:tab/>
      </w:r>
    </w:p>
    <w:p w:rsidR="002A769D" w:rsidRPr="00F06EF9" w:rsidRDefault="002A769D" w:rsidP="007E321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06EF9">
        <w:rPr>
          <w:rFonts w:asciiTheme="minorHAnsi" w:hAnsiTheme="minorHAnsi" w:cstheme="minorHAnsi"/>
          <w:sz w:val="22"/>
          <w:szCs w:val="22"/>
          <w:lang w:val="en-GB"/>
        </w:rPr>
        <w:t>Demonstrated high level of professionalism and ability to work independently and respecting deadlines;</w:t>
      </w:r>
    </w:p>
    <w:p w:rsidR="00207A83" w:rsidRPr="00F06EF9" w:rsidRDefault="00570345" w:rsidP="007E321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06EF9">
        <w:rPr>
          <w:rFonts w:asciiTheme="minorHAnsi" w:hAnsiTheme="minorHAnsi" w:cstheme="minorHAnsi"/>
          <w:sz w:val="22"/>
          <w:szCs w:val="22"/>
          <w:lang w:val="en-GB"/>
        </w:rPr>
        <w:t xml:space="preserve">Proficiency </w:t>
      </w:r>
      <w:r w:rsidR="00207A83" w:rsidRPr="00F06EF9">
        <w:rPr>
          <w:rFonts w:asciiTheme="minorHAnsi" w:hAnsiTheme="minorHAnsi" w:cstheme="minorHAnsi"/>
          <w:sz w:val="22"/>
          <w:szCs w:val="22"/>
          <w:lang w:val="en-GB"/>
        </w:rPr>
        <w:t>in both Albanian and Serb</w:t>
      </w:r>
      <w:r w:rsidR="000937DE">
        <w:rPr>
          <w:rFonts w:asciiTheme="minorHAnsi" w:hAnsiTheme="minorHAnsi" w:cstheme="minorHAnsi"/>
          <w:sz w:val="22"/>
          <w:szCs w:val="22"/>
          <w:lang w:val="en-GB"/>
        </w:rPr>
        <w:t>ian</w:t>
      </w:r>
      <w:r w:rsidR="00207A83" w:rsidRPr="00F06EF9">
        <w:rPr>
          <w:rFonts w:asciiTheme="minorHAnsi" w:hAnsiTheme="minorHAnsi" w:cstheme="minorHAnsi"/>
          <w:sz w:val="22"/>
          <w:szCs w:val="22"/>
          <w:lang w:val="en-GB"/>
        </w:rPr>
        <w:t xml:space="preserve"> is considered an </w:t>
      </w:r>
      <w:r w:rsidRPr="00F06EF9">
        <w:rPr>
          <w:rFonts w:asciiTheme="minorHAnsi" w:hAnsiTheme="minorHAnsi" w:cstheme="minorHAnsi"/>
          <w:sz w:val="22"/>
          <w:szCs w:val="22"/>
          <w:lang w:val="en-GB"/>
        </w:rPr>
        <w:t>added value</w:t>
      </w:r>
      <w:r w:rsidR="00207A83" w:rsidRPr="00F06EF9">
        <w:rPr>
          <w:rFonts w:asciiTheme="minorHAnsi" w:hAnsiTheme="minorHAnsi" w:cstheme="minorHAnsi"/>
          <w:sz w:val="22"/>
          <w:szCs w:val="22"/>
          <w:lang w:val="en-GB"/>
        </w:rPr>
        <w:t>;</w:t>
      </w:r>
    </w:p>
    <w:p w:rsidR="002A769D" w:rsidRPr="00F06EF9" w:rsidRDefault="002A769D" w:rsidP="007E321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06EF9">
        <w:rPr>
          <w:rFonts w:asciiTheme="minorHAnsi" w:hAnsiTheme="minorHAnsi" w:cstheme="minorHAnsi"/>
          <w:sz w:val="22"/>
          <w:szCs w:val="22"/>
          <w:lang w:val="en-GB"/>
        </w:rPr>
        <w:t>Excellent inter-personal communication skills;</w:t>
      </w:r>
    </w:p>
    <w:p w:rsidR="002A769D" w:rsidRPr="00F06EF9" w:rsidRDefault="002A769D" w:rsidP="007E321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06EF9">
        <w:rPr>
          <w:rFonts w:asciiTheme="minorHAnsi" w:hAnsiTheme="minorHAnsi" w:cstheme="minorHAnsi"/>
          <w:sz w:val="22"/>
          <w:szCs w:val="22"/>
          <w:lang w:val="en-GB"/>
        </w:rPr>
        <w:t>Proven and demonstrated broad knowledge of and ability to utilize M&amp;E principles, methods, techniques and systems;</w:t>
      </w:r>
    </w:p>
    <w:p w:rsidR="002A769D" w:rsidRPr="00F06EF9" w:rsidRDefault="002A769D" w:rsidP="007E3217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06EF9">
        <w:rPr>
          <w:rFonts w:asciiTheme="minorHAnsi" w:hAnsiTheme="minorHAnsi" w:cstheme="minorHAnsi"/>
          <w:sz w:val="22"/>
          <w:szCs w:val="22"/>
          <w:lang w:val="en-GB"/>
        </w:rPr>
        <w:t>Experience in work with international CSOs and/or donor organizations will be considered an advantage.</w:t>
      </w:r>
    </w:p>
    <w:p w:rsidR="002A769D" w:rsidRDefault="002A769D" w:rsidP="007E321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847A2C" w:rsidRPr="00847A2C" w:rsidRDefault="00847A2C" w:rsidP="007E321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847A2C">
        <w:rPr>
          <w:rFonts w:asciiTheme="minorHAnsi" w:hAnsiTheme="minorHAnsi" w:cstheme="minorHAnsi"/>
          <w:b/>
          <w:bCs/>
          <w:sz w:val="22"/>
          <w:szCs w:val="22"/>
          <w:lang w:val="en-GB"/>
        </w:rPr>
        <w:t>How to respond:</w:t>
      </w:r>
    </w:p>
    <w:p w:rsidR="00847A2C" w:rsidRDefault="00847A2C" w:rsidP="007E321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847A2C" w:rsidRDefault="00847A2C" w:rsidP="007E3217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  <w:t>To apply for this assignment, share the following information:</w:t>
      </w:r>
    </w:p>
    <w:p w:rsidR="00847A2C" w:rsidRDefault="00847A2C" w:rsidP="007E3217">
      <w:pPr>
        <w:pStyle w:val="ListParagraph"/>
        <w:numPr>
          <w:ilvl w:val="0"/>
          <w:numId w:val="4"/>
        </w:numPr>
        <w:jc w:val="both"/>
        <w:rPr>
          <w:rFonts w:eastAsiaTheme="minorHAnsi" w:cstheme="minorHAnsi"/>
          <w:b/>
          <w:bCs/>
          <w:lang w:val="en-US" w:eastAsia="en-US"/>
        </w:rPr>
      </w:pPr>
      <w:r w:rsidRPr="00847A2C">
        <w:rPr>
          <w:rFonts w:eastAsiaTheme="minorHAnsi" w:cstheme="minorHAnsi"/>
          <w:b/>
          <w:bCs/>
          <w:lang w:val="en-US" w:eastAsia="en-US"/>
        </w:rPr>
        <w:t xml:space="preserve">methodology of work + </w:t>
      </w:r>
      <w:r>
        <w:rPr>
          <w:rFonts w:eastAsiaTheme="minorHAnsi" w:cstheme="minorHAnsi"/>
          <w:b/>
          <w:bCs/>
          <w:lang w:val="en-US" w:eastAsia="en-US"/>
        </w:rPr>
        <w:t xml:space="preserve">estimated </w:t>
      </w:r>
      <w:r w:rsidRPr="00847A2C">
        <w:rPr>
          <w:rFonts w:eastAsiaTheme="minorHAnsi" w:cstheme="minorHAnsi"/>
          <w:b/>
          <w:bCs/>
          <w:lang w:val="en-US" w:eastAsia="en-US"/>
        </w:rPr>
        <w:t>timeline</w:t>
      </w:r>
    </w:p>
    <w:p w:rsidR="00847A2C" w:rsidRDefault="00847A2C" w:rsidP="007E3217">
      <w:pPr>
        <w:pStyle w:val="ListParagraph"/>
        <w:numPr>
          <w:ilvl w:val="0"/>
          <w:numId w:val="4"/>
        </w:numPr>
        <w:jc w:val="both"/>
        <w:rPr>
          <w:rFonts w:eastAsiaTheme="minorHAnsi" w:cstheme="minorHAnsi"/>
          <w:b/>
          <w:bCs/>
          <w:lang w:val="en-US" w:eastAsia="en-US"/>
        </w:rPr>
      </w:pPr>
      <w:r w:rsidRPr="00847A2C">
        <w:rPr>
          <w:rFonts w:eastAsiaTheme="minorHAnsi" w:cstheme="minorHAnsi"/>
          <w:b/>
          <w:bCs/>
          <w:lang w:val="en-US" w:eastAsia="en-US"/>
        </w:rPr>
        <w:t>budget</w:t>
      </w:r>
    </w:p>
    <w:p w:rsidR="00847A2C" w:rsidRDefault="00847A2C" w:rsidP="007E3217">
      <w:pPr>
        <w:pStyle w:val="ListParagraph"/>
        <w:numPr>
          <w:ilvl w:val="0"/>
          <w:numId w:val="4"/>
        </w:numPr>
        <w:jc w:val="both"/>
        <w:rPr>
          <w:rFonts w:eastAsiaTheme="minorHAnsi" w:cstheme="minorHAnsi"/>
          <w:b/>
          <w:bCs/>
          <w:lang w:val="en-US" w:eastAsia="en-US"/>
        </w:rPr>
      </w:pPr>
      <w:r w:rsidRPr="00847A2C">
        <w:rPr>
          <w:rFonts w:eastAsiaTheme="minorHAnsi" w:cstheme="minorHAnsi"/>
          <w:b/>
          <w:bCs/>
          <w:lang w:val="en-US" w:eastAsia="en-US"/>
        </w:rPr>
        <w:t>CVs</w:t>
      </w:r>
      <w:r>
        <w:rPr>
          <w:rFonts w:eastAsiaTheme="minorHAnsi" w:cstheme="minorHAnsi"/>
          <w:b/>
          <w:bCs/>
          <w:lang w:val="en-US" w:eastAsia="en-US"/>
        </w:rPr>
        <w:t xml:space="preserve"> of evaluator(s)</w:t>
      </w:r>
    </w:p>
    <w:p w:rsidR="00847A2C" w:rsidRDefault="00847A2C" w:rsidP="007E3217">
      <w:pPr>
        <w:pStyle w:val="ListParagraph"/>
        <w:numPr>
          <w:ilvl w:val="0"/>
          <w:numId w:val="4"/>
        </w:numPr>
        <w:jc w:val="both"/>
        <w:rPr>
          <w:rFonts w:eastAsiaTheme="minorHAnsi" w:cstheme="minorHAnsi"/>
          <w:b/>
          <w:bCs/>
          <w:lang w:val="en-US" w:eastAsia="en-US"/>
        </w:rPr>
      </w:pPr>
      <w:r>
        <w:rPr>
          <w:rFonts w:eastAsiaTheme="minorHAnsi" w:cstheme="minorHAnsi"/>
          <w:b/>
          <w:bCs/>
          <w:lang w:val="en-US" w:eastAsia="en-US"/>
        </w:rPr>
        <w:t xml:space="preserve">List of </w:t>
      </w:r>
      <w:r w:rsidRPr="00847A2C">
        <w:rPr>
          <w:rFonts w:eastAsiaTheme="minorHAnsi" w:cstheme="minorHAnsi"/>
          <w:b/>
          <w:bCs/>
          <w:lang w:val="en-US" w:eastAsia="en-US"/>
        </w:rPr>
        <w:t>references</w:t>
      </w:r>
    </w:p>
    <w:p w:rsidR="00847A2C" w:rsidRDefault="00847A2C" w:rsidP="007E3217">
      <w:pPr>
        <w:pStyle w:val="ListParagraph"/>
        <w:numPr>
          <w:ilvl w:val="0"/>
          <w:numId w:val="4"/>
        </w:numPr>
        <w:jc w:val="both"/>
        <w:rPr>
          <w:rFonts w:eastAsiaTheme="minorHAnsi" w:cstheme="minorHAnsi"/>
          <w:b/>
          <w:bCs/>
          <w:lang w:val="en-US" w:eastAsia="en-US"/>
        </w:rPr>
      </w:pPr>
      <w:r>
        <w:rPr>
          <w:rFonts w:eastAsiaTheme="minorHAnsi" w:cstheme="minorHAnsi"/>
          <w:b/>
          <w:bCs/>
          <w:lang w:val="en-US" w:eastAsia="en-US"/>
        </w:rPr>
        <w:t>E</w:t>
      </w:r>
      <w:r w:rsidRPr="00847A2C">
        <w:rPr>
          <w:rFonts w:eastAsiaTheme="minorHAnsi" w:cstheme="minorHAnsi"/>
          <w:b/>
          <w:bCs/>
          <w:lang w:val="en-US" w:eastAsia="en-US"/>
        </w:rPr>
        <w:t xml:space="preserve">xamples of evaluation experience. </w:t>
      </w:r>
    </w:p>
    <w:p w:rsidR="00847A2C" w:rsidRPr="00847A2C" w:rsidRDefault="00847A2C" w:rsidP="007E3217">
      <w:pPr>
        <w:jc w:val="both"/>
        <w:rPr>
          <w:rFonts w:eastAsiaTheme="minorHAnsi" w:cstheme="minorHAnsi"/>
          <w:b/>
          <w:bCs/>
          <w:lang w:val="en-US" w:eastAsia="en-US"/>
        </w:rPr>
      </w:pPr>
      <w:r w:rsidRPr="00847A2C">
        <w:rPr>
          <w:rFonts w:eastAsiaTheme="minorHAnsi" w:cstheme="minorHAnsi"/>
          <w:b/>
          <w:bCs/>
          <w:lang w:val="en-US" w:eastAsia="en-US"/>
        </w:rPr>
        <w:t xml:space="preserve">Additional information might be asked. </w:t>
      </w:r>
    </w:p>
    <w:p w:rsidR="00847A2C" w:rsidRDefault="00847A2C" w:rsidP="007E3217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</w:pPr>
    </w:p>
    <w:p w:rsidR="00847A2C" w:rsidRDefault="00847A2C" w:rsidP="007E3217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  <w:t xml:space="preserve">Please send your application by </w:t>
      </w:r>
      <w:r w:rsidRPr="00847A2C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val="en-US" w:eastAsia="en-US"/>
        </w:rPr>
        <w:t>Thursday 5</w:t>
      </w:r>
      <w:r w:rsidRPr="00847A2C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vertAlign w:val="superscript"/>
          <w:lang w:val="en-US" w:eastAsia="en-US"/>
        </w:rPr>
        <w:t>th</w:t>
      </w:r>
      <w:r w:rsidRPr="00847A2C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val="en-US" w:eastAsia="en-US"/>
        </w:rPr>
        <w:t xml:space="preserve"> September COB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  <w:t xml:space="preserve"> to: </w:t>
      </w:r>
    </w:p>
    <w:p w:rsidR="00847A2C" w:rsidRPr="00847A2C" w:rsidRDefault="007D19F5" w:rsidP="007E3217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Community Building Mitrovica</w:t>
      </w:r>
      <w:r w:rsidR="00847A2C" w:rsidRPr="00847A2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: </w:t>
      </w:r>
      <w:hyperlink r:id="rId7" w:history="1">
        <w:r w:rsidRPr="00D35644">
          <w:rPr>
            <w:rStyle w:val="Hyperlink"/>
            <w:rFonts w:asciiTheme="minorHAnsi" w:eastAsiaTheme="minorHAnsi" w:hAnsiTheme="minorHAnsi" w:cstheme="minorHAnsi"/>
            <w:b/>
            <w:bCs/>
            <w:sz w:val="22"/>
            <w:szCs w:val="22"/>
            <w:lang w:eastAsia="en-US"/>
          </w:rPr>
          <w:t>procurement@cbmitrovica.org</w:t>
        </w:r>
      </w:hyperlink>
    </w:p>
    <w:p w:rsidR="00847A2C" w:rsidRPr="00847A2C" w:rsidRDefault="00847A2C" w:rsidP="007E32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47A2C" w:rsidRDefault="00847A2C" w:rsidP="007E3217">
      <w:pPr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847A2C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Opening for applications: </w:t>
      </w:r>
      <w:r w:rsidR="000937DE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30</w:t>
      </w:r>
      <w:r w:rsidR="000937DE" w:rsidRPr="00847A2C">
        <w:rPr>
          <w:rFonts w:asciiTheme="minorHAnsi" w:eastAsiaTheme="minorHAnsi" w:hAnsiTheme="minorHAnsi" w:cstheme="minorHAnsi"/>
          <w:sz w:val="22"/>
          <w:szCs w:val="22"/>
          <w:vertAlign w:val="superscript"/>
          <w:lang w:val="en-US" w:eastAsia="en-US"/>
        </w:rPr>
        <w:t>th</w:t>
      </w:r>
      <w:r w:rsidR="000937DE" w:rsidRPr="00847A2C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</w:t>
      </w:r>
      <w:r w:rsidRPr="00847A2C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July – 5</w:t>
      </w:r>
      <w:r w:rsidRPr="00847A2C">
        <w:rPr>
          <w:rFonts w:asciiTheme="minorHAnsi" w:eastAsiaTheme="minorHAnsi" w:hAnsiTheme="minorHAnsi" w:cstheme="minorHAnsi"/>
          <w:sz w:val="22"/>
          <w:szCs w:val="22"/>
          <w:vertAlign w:val="superscript"/>
          <w:lang w:val="en-US" w:eastAsia="en-US"/>
        </w:rPr>
        <w:t>th</w:t>
      </w:r>
      <w:r w:rsidRPr="00847A2C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September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2019</w:t>
      </w:r>
    </w:p>
    <w:p w:rsidR="00847A2C" w:rsidRPr="00847A2C" w:rsidRDefault="00847A2C" w:rsidP="007E3217">
      <w:pPr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Selection of evaluator: 12</w:t>
      </w:r>
      <w:r w:rsidRPr="00847A2C">
        <w:rPr>
          <w:rFonts w:asciiTheme="minorHAnsi" w:eastAsiaTheme="minorHAnsi" w:hAnsiTheme="minorHAnsi" w:cstheme="minorHAnsi"/>
          <w:sz w:val="22"/>
          <w:szCs w:val="22"/>
          <w:vertAlign w:val="superscript"/>
          <w:lang w:val="en-US" w:eastAsia="en-US"/>
        </w:rPr>
        <w:t>th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September </w:t>
      </w:r>
    </w:p>
    <w:p w:rsidR="00847A2C" w:rsidRPr="00847A2C" w:rsidRDefault="00847A2C" w:rsidP="007E3217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</w:pPr>
      <w:r w:rsidRPr="00847A2C"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  <w:t>Starting not later than 23</w:t>
      </w:r>
      <w:r w:rsidRPr="00847A2C">
        <w:rPr>
          <w:rFonts w:asciiTheme="minorHAnsi" w:eastAsiaTheme="minorHAnsi" w:hAnsiTheme="minorHAnsi" w:cstheme="minorHAnsi"/>
          <w:b/>
          <w:bCs/>
          <w:sz w:val="22"/>
          <w:szCs w:val="22"/>
          <w:vertAlign w:val="superscript"/>
          <w:lang w:val="en-US" w:eastAsia="en-US"/>
        </w:rPr>
        <w:t>rd</w:t>
      </w:r>
      <w:r w:rsidRPr="00847A2C"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  <w:t>September</w:t>
      </w:r>
    </w:p>
    <w:p w:rsidR="00847A2C" w:rsidRDefault="00847A2C" w:rsidP="007E3217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</w:pPr>
    </w:p>
    <w:p w:rsidR="00847A2C" w:rsidRPr="00F06EF9" w:rsidRDefault="00847A2C" w:rsidP="007E321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bookmarkStart w:id="0" w:name="_GoBack"/>
      <w:bookmarkEnd w:id="0"/>
    </w:p>
    <w:sectPr w:rsidR="00847A2C" w:rsidRPr="00F06EF9" w:rsidSect="0093745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4F6" w:rsidRDefault="001824F6">
      <w:r>
        <w:separator/>
      </w:r>
    </w:p>
  </w:endnote>
  <w:endnote w:type="continuationSeparator" w:id="1">
    <w:p w:rsidR="001824F6" w:rsidRDefault="00182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9A" w:rsidRDefault="00181F9A">
    <w:pPr>
      <w:pStyle w:val="Footer"/>
    </w:pPr>
  </w:p>
  <w:tbl>
    <w:tblPr>
      <w:tblW w:w="0" w:type="auto"/>
      <w:tblLayout w:type="fixed"/>
      <w:tblLook w:val="04A0"/>
    </w:tblPr>
    <w:tblGrid>
      <w:gridCol w:w="6858"/>
      <w:gridCol w:w="1530"/>
      <w:gridCol w:w="1080"/>
    </w:tblGrid>
    <w:tr w:rsidR="00181F9A" w:rsidTr="00CC759B">
      <w:trPr>
        <w:trHeight w:val="137"/>
      </w:trPr>
      <w:tc>
        <w:tcPr>
          <w:tcW w:w="6858" w:type="dxa"/>
        </w:tcPr>
        <w:p w:rsidR="00181F9A" w:rsidRPr="00A8396B" w:rsidRDefault="00181F9A" w:rsidP="00181F9A">
          <w:pPr>
            <w:pStyle w:val="BodyTextIndent"/>
            <w:spacing w:before="40"/>
            <w:ind w:left="0"/>
            <w:rPr>
              <w:rFonts w:ascii="Arial Narrow" w:hAnsi="Arial Narrow"/>
              <w:sz w:val="15"/>
              <w:szCs w:val="15"/>
            </w:rPr>
          </w:pPr>
          <w:r w:rsidRPr="00A8396B">
            <w:rPr>
              <w:rFonts w:ascii="Arial Narrow" w:hAnsi="Arial Narrow"/>
              <w:i/>
              <w:iCs/>
              <w:sz w:val="15"/>
              <w:szCs w:val="15"/>
              <w:lang w:val="en-GB"/>
            </w:rPr>
            <w:t>A programme implemented by:</w:t>
          </w:r>
        </w:p>
      </w:tc>
      <w:tc>
        <w:tcPr>
          <w:tcW w:w="1530" w:type="dxa"/>
        </w:tcPr>
        <w:p w:rsidR="00181F9A" w:rsidRPr="00A8396B" w:rsidRDefault="00181F9A" w:rsidP="00181F9A">
          <w:pPr>
            <w:pStyle w:val="BodyTextIndent"/>
            <w:spacing w:before="40"/>
            <w:ind w:left="0"/>
            <w:rPr>
              <w:sz w:val="15"/>
              <w:szCs w:val="15"/>
            </w:rPr>
          </w:pPr>
          <w:r w:rsidRPr="00A8396B">
            <w:rPr>
              <w:rFonts w:ascii="Arial Narrow" w:hAnsi="Arial Narrow"/>
              <w:i/>
              <w:iCs/>
              <w:sz w:val="15"/>
              <w:szCs w:val="15"/>
              <w:lang w:val="en-GB"/>
            </w:rPr>
            <w:t>and financed by:</w:t>
          </w:r>
        </w:p>
      </w:tc>
      <w:tc>
        <w:tcPr>
          <w:tcW w:w="1080" w:type="dxa"/>
          <w:vMerge w:val="restart"/>
        </w:tcPr>
        <w:p w:rsidR="00181F9A" w:rsidRDefault="00181F9A" w:rsidP="00181F9A">
          <w:pPr>
            <w:pStyle w:val="BodyTextIndent"/>
            <w:spacing w:before="40"/>
            <w:ind w:left="0"/>
          </w:pPr>
          <w:r w:rsidRPr="00A8396B">
            <w:rPr>
              <w:noProof/>
            </w:rPr>
            <w:drawing>
              <wp:inline distT="0" distB="0" distL="0" distR="0">
                <wp:extent cx="444500" cy="431800"/>
                <wp:effectExtent l="19050" t="0" r="0" b="0"/>
                <wp:docPr id="26" name="Picture 2" descr="Qeveria Suede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everia Suede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50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81F9A" w:rsidTr="00CC759B">
      <w:tc>
        <w:tcPr>
          <w:tcW w:w="6858" w:type="dxa"/>
        </w:tcPr>
        <w:p w:rsidR="00181F9A" w:rsidRDefault="00181F9A" w:rsidP="00181F9A">
          <w:pPr>
            <w:pStyle w:val="BodyTextIndent"/>
            <w:spacing w:before="40"/>
            <w:ind w:left="0"/>
          </w:pPr>
          <w:r w:rsidRPr="00A8396B">
            <w:rPr>
              <w:noProof/>
            </w:rPr>
            <w:drawing>
              <wp:inline distT="0" distB="0" distL="0" distR="0">
                <wp:extent cx="1028700" cy="183696"/>
                <wp:effectExtent l="19050" t="0" r="0" b="0"/>
                <wp:docPr id="27" name="Picture 13" descr="D:\01 Public Space Profile\Layout\Logos\UN-Habitat_FIN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01" name="Picture 4" descr="D:\01 Public Space Profile\Layout\Logos\UN-Habitat_FI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836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A8396B">
            <w:rPr>
              <w:noProof/>
            </w:rPr>
            <w:drawing>
              <wp:inline distT="0" distB="0" distL="0" distR="0">
                <wp:extent cx="404813" cy="190500"/>
                <wp:effectExtent l="19050" t="0" r="0" b="0"/>
                <wp:docPr id="28" name="Picture 15" descr="D:\02 Other\Kick Start Workshop\Logo CBM PAX\pax-logo-web-fc-90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00" name="Picture 3" descr="D:\02 Other\Kick Start Workshop\Logo CBM PAX\pax-logo-web-fc-9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4813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A8396B">
            <w:rPr>
              <w:noProof/>
            </w:rPr>
            <w:drawing>
              <wp:inline distT="0" distB="0" distL="0" distR="0">
                <wp:extent cx="419100" cy="224058"/>
                <wp:effectExtent l="19050" t="0" r="0" b="0"/>
                <wp:docPr id="29" name="Picture 17" descr="D:\02 Other\Kick Start Workshop\Logo CBM PAX\LOGO CB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99" name="Picture 2" descr="D:\02 Other\Kick Start Workshop\Logo CBM PAX\LOGO CB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0668" cy="2248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0" w:type="dxa"/>
        </w:tcPr>
        <w:p w:rsidR="00181F9A" w:rsidRDefault="00181F9A" w:rsidP="00181F9A">
          <w:pPr>
            <w:pStyle w:val="BodyTextIndent"/>
            <w:spacing w:before="40"/>
            <w:ind w:left="0"/>
          </w:pPr>
          <w:r w:rsidRPr="00827152">
            <w:rPr>
              <w:rFonts w:ascii="Arial" w:hAnsi="Arial" w:cs="Arial"/>
              <w:b/>
              <w:bCs/>
              <w:i/>
              <w:color w:val="1F497D"/>
              <w:sz w:val="14"/>
              <w:szCs w:val="14"/>
            </w:rPr>
            <w:t>SWEDISH DEVELOPMENT COOPERATION</w:t>
          </w:r>
        </w:p>
      </w:tc>
      <w:tc>
        <w:tcPr>
          <w:tcW w:w="1080" w:type="dxa"/>
          <w:vMerge/>
        </w:tcPr>
        <w:p w:rsidR="00181F9A" w:rsidRDefault="00181F9A" w:rsidP="00181F9A">
          <w:pPr>
            <w:pStyle w:val="BodyTextIndent"/>
            <w:spacing w:before="40"/>
            <w:ind w:left="0"/>
          </w:pPr>
        </w:p>
      </w:tc>
    </w:tr>
  </w:tbl>
  <w:p w:rsidR="00181F9A" w:rsidRDefault="00181F9A">
    <w:pPr>
      <w:pStyle w:val="Footer"/>
    </w:pPr>
  </w:p>
  <w:p w:rsidR="0048171F" w:rsidRDefault="001824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4F6" w:rsidRDefault="001824F6">
      <w:r>
        <w:separator/>
      </w:r>
    </w:p>
  </w:footnote>
  <w:footnote w:type="continuationSeparator" w:id="1">
    <w:p w:rsidR="001824F6" w:rsidRDefault="00182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71F" w:rsidRDefault="001824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71F" w:rsidRDefault="00BA26E2" w:rsidP="00BA26E2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2924175" cy="576580"/>
          <wp:effectExtent l="0" t="0" r="9525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71F" w:rsidRDefault="001824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463C9"/>
    <w:multiLevelType w:val="hybridMultilevel"/>
    <w:tmpl w:val="0D5CD0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4A2064"/>
    <w:multiLevelType w:val="hybridMultilevel"/>
    <w:tmpl w:val="A57402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2013D"/>
    <w:multiLevelType w:val="hybridMultilevel"/>
    <w:tmpl w:val="0794F54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C24370"/>
    <w:multiLevelType w:val="hybridMultilevel"/>
    <w:tmpl w:val="43A20CCA"/>
    <w:lvl w:ilvl="0" w:tplc="0413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07729"/>
    <w:multiLevelType w:val="hybridMultilevel"/>
    <w:tmpl w:val="5620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27529"/>
    <w:multiLevelType w:val="hybridMultilevel"/>
    <w:tmpl w:val="055AB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12C10"/>
    <w:multiLevelType w:val="hybridMultilevel"/>
    <w:tmpl w:val="00369532"/>
    <w:lvl w:ilvl="0" w:tplc="E5D6CB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B4006"/>
    <w:multiLevelType w:val="hybridMultilevel"/>
    <w:tmpl w:val="E6168686"/>
    <w:lvl w:ilvl="0" w:tplc="E5D6CB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332D5"/>
    <w:multiLevelType w:val="hybridMultilevel"/>
    <w:tmpl w:val="95B8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3021C"/>
    <w:multiLevelType w:val="hybridMultilevel"/>
    <w:tmpl w:val="2BD27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365C1"/>
    <w:multiLevelType w:val="hybridMultilevel"/>
    <w:tmpl w:val="389E5DAE"/>
    <w:lvl w:ilvl="0" w:tplc="EEC8FC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A4C31"/>
    <w:rsid w:val="000937DE"/>
    <w:rsid w:val="000D53CC"/>
    <w:rsid w:val="00181F9A"/>
    <w:rsid w:val="001824F6"/>
    <w:rsid w:val="001A26B4"/>
    <w:rsid w:val="001A4E5B"/>
    <w:rsid w:val="00207A83"/>
    <w:rsid w:val="002318FC"/>
    <w:rsid w:val="00233268"/>
    <w:rsid w:val="002A4C31"/>
    <w:rsid w:val="002A769D"/>
    <w:rsid w:val="002B0FF5"/>
    <w:rsid w:val="002B1B0A"/>
    <w:rsid w:val="00301027"/>
    <w:rsid w:val="0031390E"/>
    <w:rsid w:val="00362766"/>
    <w:rsid w:val="003F7E2A"/>
    <w:rsid w:val="004050F5"/>
    <w:rsid w:val="00507F14"/>
    <w:rsid w:val="00570345"/>
    <w:rsid w:val="005E54C0"/>
    <w:rsid w:val="007D19F5"/>
    <w:rsid w:val="007E3217"/>
    <w:rsid w:val="00847A2C"/>
    <w:rsid w:val="008B0059"/>
    <w:rsid w:val="009C5ACD"/>
    <w:rsid w:val="00B71C21"/>
    <w:rsid w:val="00BA26E2"/>
    <w:rsid w:val="00D62EBE"/>
    <w:rsid w:val="00D81908"/>
    <w:rsid w:val="00DF5CD4"/>
    <w:rsid w:val="00E4040C"/>
    <w:rsid w:val="00E87D30"/>
    <w:rsid w:val="00E92ADD"/>
    <w:rsid w:val="00F02A44"/>
    <w:rsid w:val="00F06EF9"/>
    <w:rsid w:val="00F2776E"/>
    <w:rsid w:val="00FC030E"/>
    <w:rsid w:val="00FD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3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C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C31"/>
    <w:rPr>
      <w:rFonts w:ascii="Arial" w:eastAsia="Times New Roman" w:hAnsi="Arial" w:cs="Times New Roman"/>
      <w:sz w:val="20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2A4C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C31"/>
    <w:rPr>
      <w:rFonts w:ascii="Arial" w:eastAsia="Times New Roman" w:hAnsi="Arial" w:cs="Times New Roman"/>
      <w:sz w:val="20"/>
      <w:szCs w:val="24"/>
      <w:lang w:eastAsia="nl-NL"/>
    </w:rPr>
  </w:style>
  <w:style w:type="paragraph" w:styleId="ListParagraph">
    <w:name w:val="List Paragraph"/>
    <w:aliases w:val="Lapis Bulleted List,Main numbered paragraph,List Paragraph1,Ha"/>
    <w:basedOn w:val="Normal"/>
    <w:link w:val="ListParagraphChar"/>
    <w:uiPriority w:val="34"/>
    <w:qFormat/>
    <w:rsid w:val="002A4C3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A4C31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A4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C3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C31"/>
    <w:rPr>
      <w:rFonts w:ascii="Arial" w:eastAsia="Times New Roman" w:hAnsi="Arial" w:cs="Times New Roman"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C31"/>
    <w:rPr>
      <w:rFonts w:ascii="Segoe UI" w:eastAsia="Times New Roman" w:hAnsi="Segoe UI" w:cs="Segoe UI"/>
      <w:sz w:val="18"/>
      <w:szCs w:val="18"/>
      <w:lang w:eastAsia="nl-NL"/>
    </w:rPr>
  </w:style>
  <w:style w:type="character" w:customStyle="1" w:styleId="ListParagraphChar">
    <w:name w:val="List Paragraph Char"/>
    <w:aliases w:val="Lapis Bulleted List Char,Main numbered paragraph Char,List Paragraph1 Char,Ha Char"/>
    <w:link w:val="ListParagraph"/>
    <w:uiPriority w:val="34"/>
    <w:rsid w:val="002A4C31"/>
    <w:rPr>
      <w:rFonts w:eastAsiaTheme="minorEastAsia"/>
      <w:lang w:eastAsia="nl-N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1F9A"/>
    <w:pPr>
      <w:spacing w:after="120" w:line="259" w:lineRule="auto"/>
      <w:ind w:left="36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1F9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47A2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7A2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7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curement@cbmitrovic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Kathelijne Schenkel</dc:creator>
  <cp:lastModifiedBy>Stevan</cp:lastModifiedBy>
  <cp:revision>2</cp:revision>
  <dcterms:created xsi:type="dcterms:W3CDTF">2019-08-02T08:28:00Z</dcterms:created>
  <dcterms:modified xsi:type="dcterms:W3CDTF">2019-08-02T08:28:00Z</dcterms:modified>
</cp:coreProperties>
</file>